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67" w:rsidRDefault="001A5776">
      <w:pPr>
        <w:pStyle w:val="1"/>
        <w:spacing w:before="120" w:after="120" w:line="360" w:lineRule="auto"/>
        <w:ind w:left="602"/>
        <w:jc w:val="center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0" w:name="_Toc30619"/>
      <w:bookmarkStart w:id="1" w:name="_Toc79071955"/>
      <w:r>
        <w:rPr>
          <w:rFonts w:ascii="Times New Roman" w:eastAsia="黑体" w:hAnsi="Times New Roman" w:cs="Times New Roman"/>
          <w:b w:val="0"/>
          <w:sz w:val="32"/>
          <w:szCs w:val="32"/>
        </w:rPr>
        <w:t>推动高等学校教材高质量发展的倡议书</w:t>
      </w:r>
      <w:bookmarkEnd w:id="0"/>
      <w:bookmarkEnd w:id="1"/>
    </w:p>
    <w:p w:rsidR="001F4A67" w:rsidRDefault="001A5776">
      <w:pPr>
        <w:spacing w:line="360" w:lineRule="auto"/>
        <w:ind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为全面落实习近平总书记</w:t>
      </w:r>
      <w:r>
        <w:rPr>
          <w:rFonts w:ascii="Times New Roman" w:eastAsia="仿宋" w:hAnsi="Times New Roman" w:cs="Times New Roman" w:hint="eastAsia"/>
          <w:sz w:val="30"/>
          <w:szCs w:val="30"/>
        </w:rPr>
        <w:t>“</w:t>
      </w:r>
      <w:r>
        <w:rPr>
          <w:rFonts w:ascii="Times New Roman" w:eastAsia="仿宋" w:hAnsi="Times New Roman" w:cs="Times New Roman"/>
          <w:color w:val="333333"/>
          <w:sz w:val="30"/>
          <w:szCs w:val="30"/>
          <w:shd w:val="clear" w:color="auto" w:fill="FFFFFF"/>
        </w:rPr>
        <w:t>坚持正确政治方向，弘扬优良传统，推进改革创新，用心打造培根铸魂、启智增慧的精品教材</w:t>
      </w:r>
      <w:r>
        <w:rPr>
          <w:rFonts w:ascii="Times New Roman" w:eastAsia="仿宋" w:hAnsi="Times New Roman" w:cs="Times New Roman" w:hint="eastAsia"/>
          <w:color w:val="333333"/>
          <w:sz w:val="30"/>
          <w:szCs w:val="30"/>
          <w:shd w:val="clear" w:color="auto" w:fill="FFFFFF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的指示，切实贯彻教育部《普通高等学校教材管理办法》《职业院校教材管理办法》的精神，积极响应普通高等教育、职业高等教育发展需求，促进高等学校教材高质量发展，实现大学出版社行稳致远的目标，</w:t>
      </w:r>
      <w:r>
        <w:rPr>
          <w:rFonts w:ascii="Times New Roman" w:eastAsia="仿宋" w:hAnsi="Times New Roman" w:cs="Times New Roman" w:hint="eastAsia"/>
          <w:sz w:val="30"/>
          <w:szCs w:val="30"/>
        </w:rPr>
        <w:t>中国大学出版社协会会员单位</w:t>
      </w:r>
      <w:r>
        <w:rPr>
          <w:rFonts w:ascii="Times New Roman" w:eastAsia="仿宋" w:hAnsi="Times New Roman" w:cs="Times New Roman"/>
          <w:sz w:val="30"/>
          <w:szCs w:val="30"/>
        </w:rPr>
        <w:t>经过充分讨论，达成发展共识，提出如下倡议。</w:t>
      </w:r>
    </w:p>
    <w:p w:rsidR="001F4A67" w:rsidRDefault="001A5776">
      <w:pPr>
        <w:spacing w:line="360" w:lineRule="auto"/>
        <w:ind w:firstLine="60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一、牢记初心使命，落实立德树人</w:t>
      </w:r>
    </w:p>
    <w:p w:rsidR="001F4A67" w:rsidRDefault="001A5776">
      <w:pPr>
        <w:spacing w:line="360" w:lineRule="auto"/>
        <w:ind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会员</w:t>
      </w:r>
      <w:r>
        <w:rPr>
          <w:rFonts w:ascii="Times New Roman" w:eastAsia="仿宋" w:hAnsi="Times New Roman" w:cs="Times New Roman"/>
          <w:sz w:val="30"/>
          <w:szCs w:val="30"/>
        </w:rPr>
        <w:t>单位坚持以习近平新时代中国特色社会主义思想为指导，坚守为党育人、为国育才，扎根高等教育，服务高等院校；全面落实党和国家的教育方针、教育理念，始终围绕立德树人研发、出版高校教材。</w:t>
      </w:r>
    </w:p>
    <w:p w:rsidR="001F4A67" w:rsidRDefault="001A5776">
      <w:pPr>
        <w:spacing w:line="360" w:lineRule="auto"/>
        <w:ind w:firstLine="60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二、强化精品意识，践行出版责任</w:t>
      </w:r>
    </w:p>
    <w:p w:rsidR="001F4A67" w:rsidRDefault="001A5776">
      <w:pPr>
        <w:spacing w:line="360" w:lineRule="auto"/>
        <w:ind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主动对接经济、社会、行业、企业的人才需求，充分挖掘高校的学科、人才优势，通过创新化、专业化、市场化、集约化的手段研发易教乐学的高校教材，提供优质、高效的教学服务，开展高校教材建设规律研究，打造成系列、有影响、</w:t>
      </w:r>
      <w:r>
        <w:rPr>
          <w:rFonts w:ascii="Times New Roman" w:eastAsia="仿宋" w:hAnsi="Times New Roman" w:cs="Times New Roman" w:hint="eastAsia"/>
          <w:sz w:val="30"/>
          <w:szCs w:val="30"/>
        </w:rPr>
        <w:t>分层次</w:t>
      </w:r>
      <w:r>
        <w:rPr>
          <w:rFonts w:ascii="Times New Roman" w:eastAsia="仿宋" w:hAnsi="Times New Roman" w:cs="Times New Roman"/>
          <w:sz w:val="30"/>
          <w:szCs w:val="30"/>
        </w:rPr>
        <w:t>、立体化的高校精品教材，充分满足高校师生教与学的需求，促进高等教育健康、良性发展，主动承</w:t>
      </w:r>
      <w:r>
        <w:rPr>
          <w:rFonts w:ascii="Times New Roman" w:eastAsia="仿宋" w:hAnsi="Times New Roman" w:cs="Times New Roman"/>
          <w:sz w:val="30"/>
          <w:szCs w:val="30"/>
        </w:rPr>
        <w:t>担出版责任，树立大学出版社良好的社会形象。</w:t>
      </w:r>
    </w:p>
    <w:p w:rsidR="001F4A67" w:rsidRDefault="001F4A67">
      <w:pPr>
        <w:spacing w:line="360" w:lineRule="auto"/>
        <w:ind w:firstLine="600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A5776">
      <w:pPr>
        <w:spacing w:line="360" w:lineRule="auto"/>
        <w:ind w:firstLine="60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三、建立协同机制，形成整合优势</w:t>
      </w:r>
    </w:p>
    <w:p w:rsidR="001F4A67" w:rsidRDefault="001A5776">
      <w:pPr>
        <w:spacing w:line="360" w:lineRule="auto"/>
        <w:ind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坚持和加强大学版协的组织、协调作用，依托高校精品教材建设，形成各大学出版社积极配合、相互补台、共赢发展的机制。大学版协引领建立高校精品教材建设指南、评价标准、宣传目录，组织专家指导</w:t>
      </w:r>
      <w:r>
        <w:rPr>
          <w:rFonts w:ascii="Times New Roman" w:eastAsia="仿宋" w:hAnsi="Times New Roman" w:cs="Times New Roman" w:hint="eastAsia"/>
          <w:sz w:val="30"/>
          <w:szCs w:val="30"/>
        </w:rPr>
        <w:t>会员</w:t>
      </w:r>
      <w:r>
        <w:rPr>
          <w:rFonts w:ascii="Times New Roman" w:eastAsia="仿宋" w:hAnsi="Times New Roman" w:cs="Times New Roman"/>
          <w:sz w:val="30"/>
          <w:szCs w:val="30"/>
        </w:rPr>
        <w:t>单位开展精品教材建设；各</w:t>
      </w:r>
      <w:r>
        <w:rPr>
          <w:rFonts w:ascii="Times New Roman" w:eastAsia="仿宋" w:hAnsi="Times New Roman" w:cs="Times New Roman" w:hint="eastAsia"/>
          <w:sz w:val="30"/>
          <w:szCs w:val="30"/>
        </w:rPr>
        <w:t>会员</w:t>
      </w:r>
      <w:r>
        <w:rPr>
          <w:rFonts w:ascii="Times New Roman" w:eastAsia="仿宋" w:hAnsi="Times New Roman" w:cs="Times New Roman"/>
          <w:sz w:val="30"/>
          <w:szCs w:val="30"/>
        </w:rPr>
        <w:t>单位发挥本单位的学科、专业、人才优势，深耕优势领域，建设精品教材；彼此取长补短，共同打造具有大学出版社特色的高校精品教材品牌。</w:t>
      </w:r>
    </w:p>
    <w:p w:rsidR="001F4A67" w:rsidRDefault="001A5776">
      <w:pPr>
        <w:spacing w:line="360" w:lineRule="auto"/>
        <w:ind w:firstLine="60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四、加强行为自律，营造良好生态</w:t>
      </w:r>
    </w:p>
    <w:p w:rsidR="001F4A67" w:rsidRDefault="001A5776">
      <w:pPr>
        <w:spacing w:line="360" w:lineRule="auto"/>
        <w:ind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各</w:t>
      </w:r>
      <w:r>
        <w:rPr>
          <w:rFonts w:ascii="Times New Roman" w:eastAsia="仿宋" w:hAnsi="Times New Roman" w:cs="Times New Roman" w:hint="eastAsia"/>
          <w:sz w:val="30"/>
          <w:szCs w:val="30"/>
        </w:rPr>
        <w:t>会员</w:t>
      </w:r>
      <w:r>
        <w:rPr>
          <w:rFonts w:ascii="Times New Roman" w:eastAsia="仿宋" w:hAnsi="Times New Roman" w:cs="Times New Roman"/>
          <w:sz w:val="30"/>
          <w:szCs w:val="30"/>
        </w:rPr>
        <w:t>单位自觉加强自我行为约束，严格落实国家政策要求和大学版协</w:t>
      </w:r>
      <w:r>
        <w:rPr>
          <w:rFonts w:ascii="Times New Roman" w:eastAsia="仿宋" w:hAnsi="Times New Roman" w:cs="Times New Roman"/>
          <w:sz w:val="30"/>
          <w:szCs w:val="30"/>
        </w:rPr>
        <w:t>的整体设计，遵守大学出版社行为规则，积极承担起大学出版社的主体责任。</w:t>
      </w:r>
      <w:r>
        <w:rPr>
          <w:rFonts w:ascii="Times New Roman" w:eastAsia="仿宋" w:hAnsi="Times New Roman" w:cs="Times New Roman" w:hint="eastAsia"/>
          <w:sz w:val="30"/>
          <w:szCs w:val="30"/>
        </w:rPr>
        <w:t>会员</w:t>
      </w:r>
      <w:r>
        <w:rPr>
          <w:rFonts w:ascii="Times New Roman" w:eastAsia="仿宋" w:hAnsi="Times New Roman" w:cs="Times New Roman"/>
          <w:sz w:val="30"/>
          <w:szCs w:val="30"/>
        </w:rPr>
        <w:t>单位在作者选择、产品建设、市场推广中遵守大学版协的统一要求，坚持资源共享、优势互补、共同成长，坚决摒弃相互拆台、恶意竞争等不良行为，推动建立起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自律规范、同赢共享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的大学出版社发展生态，共同营造大学版协守初心、担使命、谋发展的良好社会形象。</w:t>
      </w: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A5776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指导机构：</w:t>
      </w:r>
    </w:p>
    <w:p w:rsidR="001F4A67" w:rsidRDefault="001A5776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中国大学出版社协会</w:t>
      </w: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A5776">
      <w:pPr>
        <w:spacing w:line="480" w:lineRule="exact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0"/>
          <w:szCs w:val="30"/>
        </w:rPr>
        <w:t>发起单位：</w:t>
      </w:r>
    </w:p>
    <w:p w:rsidR="001F4A67" w:rsidRDefault="001A5776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清华大学出版社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            </w:t>
      </w:r>
      <w:r>
        <w:rPr>
          <w:rFonts w:ascii="Times New Roman" w:eastAsia="仿宋" w:hAnsi="Times New Roman" w:cs="Times New Roman" w:hint="eastAsia"/>
          <w:sz w:val="30"/>
          <w:szCs w:val="30"/>
        </w:rPr>
        <w:t>北京师范大学出版社（集团）</w:t>
      </w:r>
    </w:p>
    <w:p w:rsidR="001F4A67" w:rsidRDefault="001F4A67">
      <w:pPr>
        <w:spacing w:line="48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A5776">
      <w:pPr>
        <w:spacing w:line="480" w:lineRule="exact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0"/>
          <w:szCs w:val="30"/>
        </w:rPr>
        <w:lastRenderedPageBreak/>
        <w:t>倡议单位：</w:t>
      </w:r>
    </w:p>
    <w:p w:rsidR="001F4A67" w:rsidRDefault="001A5776">
      <w:pPr>
        <w:spacing w:line="360" w:lineRule="auto"/>
        <w:rPr>
          <w:rFonts w:ascii="Times New Roman" w:eastAsia="仿宋" w:hAnsi="Times New Roman" w:cs="Times New Roman"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sz w:val="30"/>
          <w:szCs w:val="30"/>
        </w:rPr>
        <w:t>北京理工大学出版社</w:t>
      </w:r>
      <w:r>
        <w:rPr>
          <w:rFonts w:ascii="Times New Roman" w:eastAsia="仿宋" w:hAnsi="Times New Roman" w:cs="Times New Roman" w:hint="eastAsia"/>
          <w:color w:val="000000"/>
          <w:sz w:val="30"/>
          <w:szCs w:val="30"/>
        </w:rPr>
        <w:t xml:space="preserve">            </w:t>
      </w:r>
      <w:r>
        <w:rPr>
          <w:rFonts w:ascii="Times New Roman" w:eastAsia="仿宋" w:hAnsi="Times New Roman" w:cs="Times New Roman"/>
          <w:color w:val="000000"/>
          <w:sz w:val="30"/>
          <w:szCs w:val="30"/>
        </w:rPr>
        <w:t>北京大学医学出版社</w:t>
      </w:r>
    </w:p>
    <w:p w:rsidR="001F4A67" w:rsidRDefault="001A5776">
      <w:pPr>
        <w:spacing w:line="360" w:lineRule="auto"/>
        <w:rPr>
          <w:rFonts w:ascii="Times New Roman" w:eastAsia="仿宋" w:hAnsi="Times New Roman" w:cs="Times New Roman"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sz w:val="30"/>
          <w:szCs w:val="30"/>
        </w:rPr>
        <w:t>北京交通大学出版社</w:t>
      </w:r>
      <w:r>
        <w:rPr>
          <w:rFonts w:ascii="Times New Roman" w:eastAsia="仿宋" w:hAnsi="Times New Roman" w:cs="Times New Roman" w:hint="eastAsia"/>
          <w:color w:val="000000"/>
          <w:sz w:val="30"/>
          <w:szCs w:val="30"/>
        </w:rPr>
        <w:t xml:space="preserve">            </w:t>
      </w:r>
      <w:r>
        <w:rPr>
          <w:rFonts w:ascii="Times New Roman" w:eastAsia="仿宋" w:hAnsi="Times New Roman" w:cs="Times New Roman"/>
          <w:color w:val="000000"/>
          <w:sz w:val="30"/>
          <w:szCs w:val="30"/>
        </w:rPr>
        <w:t>北京航空航天大学出版社</w:t>
      </w:r>
    </w:p>
    <w:p w:rsidR="001F4A67" w:rsidRDefault="001A5776">
      <w:pPr>
        <w:spacing w:line="360" w:lineRule="auto"/>
        <w:rPr>
          <w:rFonts w:ascii="Times New Roman" w:eastAsia="仿宋" w:hAnsi="Times New Roman" w:cs="Times New Roman"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sz w:val="30"/>
          <w:szCs w:val="30"/>
        </w:rPr>
        <w:t>国家开放大学出版社</w:t>
      </w:r>
      <w:r>
        <w:rPr>
          <w:rFonts w:ascii="Times New Roman" w:eastAsia="仿宋" w:hAnsi="Times New Roman" w:cs="Times New Roman" w:hint="eastAsia"/>
          <w:color w:val="000000"/>
          <w:sz w:val="30"/>
          <w:szCs w:val="30"/>
        </w:rPr>
        <w:t xml:space="preserve">            </w:t>
      </w:r>
      <w:r>
        <w:rPr>
          <w:rFonts w:ascii="Times New Roman" w:eastAsia="仿宋" w:hAnsi="Times New Roman" w:cs="Times New Roman"/>
          <w:color w:val="000000"/>
          <w:sz w:val="30"/>
          <w:szCs w:val="30"/>
        </w:rPr>
        <w:t>中国人民大学出版社</w:t>
      </w:r>
      <w:r>
        <w:rPr>
          <w:rFonts w:ascii="Times New Roman" w:eastAsia="仿宋" w:hAnsi="Times New Roman" w:cs="Times New Roman" w:hint="eastAsia"/>
          <w:color w:val="000000"/>
          <w:sz w:val="30"/>
          <w:szCs w:val="30"/>
        </w:rPr>
        <w:t xml:space="preserve"> </w:t>
      </w:r>
    </w:p>
    <w:p w:rsidR="001F4A67" w:rsidRDefault="001A5776">
      <w:pPr>
        <w:spacing w:line="360" w:lineRule="auto"/>
        <w:rPr>
          <w:rFonts w:ascii="Times New Roman" w:eastAsia="仿宋" w:hAnsi="Times New Roman" w:cs="Times New Roman"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sz w:val="30"/>
          <w:szCs w:val="30"/>
        </w:rPr>
        <w:t>中国农业大学出版社</w:t>
      </w: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A5776">
      <w:pPr>
        <w:spacing w:line="480" w:lineRule="exact"/>
        <w:rPr>
          <w:rFonts w:ascii="Times New Roman" w:eastAsia="仿宋" w:hAnsi="Times New Roman" w:cs="Times New Roman"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排序</w:t>
      </w:r>
      <w:r>
        <w:rPr>
          <w:rFonts w:ascii="Times New Roman" w:eastAsia="仿宋" w:hAnsi="Times New Roman" w:cs="Times New Roman" w:hint="eastAsia"/>
          <w:b/>
          <w:bCs/>
          <w:color w:val="000000"/>
          <w:sz w:val="30"/>
          <w:szCs w:val="30"/>
        </w:rPr>
        <w:t>以倡议书签署时间为序，请各机构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加盖单位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盖章</w:t>
      </w:r>
      <w:r>
        <w:rPr>
          <w:rFonts w:ascii="Times New Roman" w:eastAsia="仿宋" w:hAnsi="Times New Roman" w:cs="Times New Roman" w:hint="eastAsia"/>
          <w:b/>
          <w:bCs/>
          <w:color w:val="000000"/>
          <w:sz w:val="30"/>
          <w:szCs w:val="30"/>
        </w:rPr>
        <w:t>）</w:t>
      </w: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A5776">
      <w:pPr>
        <w:spacing w:line="480" w:lineRule="exact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倡议发起时间：</w:t>
      </w:r>
      <w:r>
        <w:rPr>
          <w:rFonts w:ascii="Times New Roman" w:eastAsia="仿宋" w:hAnsi="Times New Roman" w:cs="Times New Roman" w:hint="eastAsia"/>
          <w:sz w:val="30"/>
          <w:szCs w:val="30"/>
        </w:rPr>
        <w:t>2021</w:t>
      </w:r>
      <w:r>
        <w:rPr>
          <w:rFonts w:ascii="Times New Roman" w:eastAsia="仿宋" w:hAnsi="Times New Roman" w:cs="Times New Roman" w:hint="eastAsia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9</w:t>
      </w:r>
      <w:r>
        <w:rPr>
          <w:rFonts w:ascii="Times New Roman" w:eastAsia="仿宋" w:hAnsi="Times New Roman" w:cs="Times New Roman" w:hint="eastAsia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z w:val="30"/>
          <w:szCs w:val="30"/>
        </w:rPr>
        <w:t>日</w:t>
      </w:r>
    </w:p>
    <w:p w:rsidR="001F4A67" w:rsidRDefault="001F4A67">
      <w:pPr>
        <w:spacing w:line="480" w:lineRule="exact"/>
        <w:ind w:firstLine="720"/>
        <w:jc w:val="righ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ind w:firstLine="720"/>
        <w:jc w:val="righ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ind w:firstLine="720"/>
        <w:jc w:val="righ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jc w:val="righ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A5776">
      <w:pPr>
        <w:spacing w:line="480" w:lineRule="exact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（执笔人：姚贵平）</w:t>
      </w:r>
    </w:p>
    <w:p w:rsidR="001F4A67" w:rsidRDefault="001F4A67">
      <w:pPr>
        <w:spacing w:line="48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1F4A67" w:rsidRDefault="001F4A67">
      <w:bookmarkStart w:id="2" w:name="_GoBack"/>
      <w:bookmarkEnd w:id="2"/>
    </w:p>
    <w:sectPr w:rsidR="001F4A67" w:rsidSect="001F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776" w:rsidRDefault="001A5776" w:rsidP="006D4631">
      <w:r>
        <w:separator/>
      </w:r>
    </w:p>
  </w:endnote>
  <w:endnote w:type="continuationSeparator" w:id="0">
    <w:p w:rsidR="001A5776" w:rsidRDefault="001A5776" w:rsidP="006D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776" w:rsidRDefault="001A5776" w:rsidP="006D4631">
      <w:r>
        <w:separator/>
      </w:r>
    </w:p>
  </w:footnote>
  <w:footnote w:type="continuationSeparator" w:id="0">
    <w:p w:rsidR="001A5776" w:rsidRDefault="001A5776" w:rsidP="006D4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C272FF"/>
    <w:rsid w:val="001A5776"/>
    <w:rsid w:val="001F4A67"/>
    <w:rsid w:val="006D4631"/>
    <w:rsid w:val="5BC2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F4A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F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D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46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2021-12-24T06:24:00Z</dcterms:created>
  <dcterms:modified xsi:type="dcterms:W3CDTF">2021-12-24T06:24:00Z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A2C219DFCF5F45E3B64A734338058663</vt:lpwstr>
  </property>
</Properties>
</file>